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5E" w:rsidRPr="0052295E" w:rsidRDefault="0052295E" w:rsidP="0052295E">
      <w:pPr>
        <w:pStyle w:val="a3"/>
        <w:rPr>
          <w:b/>
          <w:sz w:val="28"/>
          <w:szCs w:val="28"/>
        </w:rPr>
      </w:pPr>
      <w:r w:rsidRPr="0052295E">
        <w:rPr>
          <w:b/>
          <w:sz w:val="28"/>
          <w:szCs w:val="28"/>
        </w:rPr>
        <w:t xml:space="preserve">                                            Витабиос</w:t>
      </w:r>
    </w:p>
    <w:p w:rsidR="0052295E" w:rsidRPr="0052295E" w:rsidRDefault="0052295E" w:rsidP="0052295E">
      <w:pPr>
        <w:pStyle w:val="a3"/>
        <w:rPr>
          <w:sz w:val="28"/>
          <w:szCs w:val="28"/>
        </w:rPr>
      </w:pPr>
      <w:r w:rsidRPr="0052295E">
        <w:rPr>
          <w:sz w:val="28"/>
          <w:szCs w:val="28"/>
        </w:rPr>
        <w:t xml:space="preserve">                      – новое поколение </w:t>
      </w:r>
      <w:proofErr w:type="gramStart"/>
      <w:r w:rsidRPr="0052295E">
        <w:rPr>
          <w:sz w:val="28"/>
          <w:szCs w:val="28"/>
        </w:rPr>
        <w:t>натуральных</w:t>
      </w:r>
      <w:proofErr w:type="gramEnd"/>
      <w:r w:rsidRPr="0052295E">
        <w:rPr>
          <w:sz w:val="28"/>
          <w:szCs w:val="28"/>
        </w:rPr>
        <w:t xml:space="preserve"> биосорбентов – </w:t>
      </w:r>
    </w:p>
    <w:p w:rsidR="0052295E" w:rsidRPr="0052295E" w:rsidRDefault="0052295E" w:rsidP="005229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52295E">
        <w:rPr>
          <w:sz w:val="28"/>
          <w:szCs w:val="28"/>
        </w:rPr>
        <w:t>«законсервирова</w:t>
      </w:r>
      <w:r w:rsidRPr="0052295E">
        <w:rPr>
          <w:sz w:val="28"/>
          <w:szCs w:val="28"/>
        </w:rPr>
        <w:t>н</w:t>
      </w:r>
      <w:r w:rsidRPr="0052295E">
        <w:rPr>
          <w:sz w:val="28"/>
          <w:szCs w:val="28"/>
        </w:rPr>
        <w:t>ное Солнышко»</w:t>
      </w:r>
      <w:r w:rsidR="00C36CA5">
        <w:rPr>
          <w:sz w:val="28"/>
          <w:szCs w:val="28"/>
        </w:rPr>
        <w:t>.</w:t>
      </w:r>
    </w:p>
    <w:p w:rsidR="0052295E" w:rsidRDefault="0052295E" w:rsidP="0052295E">
      <w:pPr>
        <w:pStyle w:val="a3"/>
        <w:rPr>
          <w:sz w:val="28"/>
          <w:szCs w:val="28"/>
        </w:rPr>
      </w:pPr>
    </w:p>
    <w:p w:rsidR="0052295E" w:rsidRPr="0052295E" w:rsidRDefault="0052295E" w:rsidP="005229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 xml:space="preserve">   </w:t>
      </w:r>
      <w:r w:rsidR="008E23DA">
        <w:rPr>
          <w:rFonts w:ascii="Times New Roman" w:hAnsi="Times New Roman" w:cs="Times New Roman"/>
          <w:sz w:val="24"/>
          <w:szCs w:val="24"/>
        </w:rPr>
        <w:t xml:space="preserve">   </w:t>
      </w:r>
      <w:r w:rsidRPr="0052295E">
        <w:rPr>
          <w:rFonts w:ascii="Times New Roman" w:hAnsi="Times New Roman" w:cs="Times New Roman"/>
          <w:sz w:val="24"/>
          <w:szCs w:val="24"/>
        </w:rPr>
        <w:t>Известно высказывание знаменитого Галена: «Человек ум</w:t>
      </w:r>
      <w:r w:rsidRPr="0052295E">
        <w:rPr>
          <w:rFonts w:ascii="Times New Roman" w:hAnsi="Times New Roman" w:cs="Times New Roman"/>
          <w:sz w:val="24"/>
          <w:szCs w:val="24"/>
        </w:rPr>
        <w:t>и</w:t>
      </w:r>
      <w:r w:rsidRPr="0052295E">
        <w:rPr>
          <w:rFonts w:ascii="Times New Roman" w:hAnsi="Times New Roman" w:cs="Times New Roman"/>
          <w:sz w:val="24"/>
          <w:szCs w:val="24"/>
        </w:rPr>
        <w:t>рает не от болезней, а от лекарств». Книга рекордов Гиннеса ждет от фармацевтов создание хотя бы одного химического препарата, который кроме основного лечебного эффекта одновременно не оказал бы на негативное влияние на жизненно важные органы и системы пациента. И не дождется. Такого нет и быть не может. Любая химия для организма лекарство и яд одновременно.</w:t>
      </w:r>
    </w:p>
    <w:p w:rsidR="0052295E" w:rsidRPr="0052295E" w:rsidRDefault="0052295E" w:rsidP="005229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 xml:space="preserve"> </w:t>
      </w:r>
      <w:r w:rsidR="008E23DA">
        <w:rPr>
          <w:rFonts w:ascii="Times New Roman" w:hAnsi="Times New Roman" w:cs="Times New Roman"/>
          <w:sz w:val="24"/>
          <w:szCs w:val="24"/>
        </w:rPr>
        <w:t xml:space="preserve">    </w:t>
      </w:r>
      <w:r w:rsidRPr="0052295E">
        <w:rPr>
          <w:rFonts w:ascii="Times New Roman" w:hAnsi="Times New Roman" w:cs="Times New Roman"/>
          <w:sz w:val="24"/>
          <w:szCs w:val="24"/>
        </w:rPr>
        <w:t>Добавим к этому различные токсины, химические добавки и консерва</w:t>
      </w:r>
      <w:r w:rsidRPr="0052295E">
        <w:rPr>
          <w:rFonts w:ascii="Times New Roman" w:hAnsi="Times New Roman" w:cs="Times New Roman"/>
          <w:sz w:val="24"/>
          <w:szCs w:val="24"/>
        </w:rPr>
        <w:t>н</w:t>
      </w:r>
      <w:r w:rsidRPr="0052295E">
        <w:rPr>
          <w:rFonts w:ascii="Times New Roman" w:hAnsi="Times New Roman" w:cs="Times New Roman"/>
          <w:sz w:val="24"/>
          <w:szCs w:val="24"/>
        </w:rPr>
        <w:t>ты, поступающие в организм современного человека с некачественной п</w:t>
      </w:r>
      <w:r w:rsidRPr="0052295E">
        <w:rPr>
          <w:rFonts w:ascii="Times New Roman" w:hAnsi="Times New Roman" w:cs="Times New Roman"/>
          <w:sz w:val="24"/>
          <w:szCs w:val="24"/>
        </w:rPr>
        <w:t>и</w:t>
      </w:r>
      <w:r w:rsidRPr="0052295E">
        <w:rPr>
          <w:rFonts w:ascii="Times New Roman" w:hAnsi="Times New Roman" w:cs="Times New Roman"/>
          <w:sz w:val="24"/>
          <w:szCs w:val="24"/>
        </w:rPr>
        <w:t>щей, грязной водой и отравленным воздухом, большие дозы принимаемого алкоголя, все возрастающее пристрастие молодежи к наркотикам.  И становится совершенно ясно, что без капитальной периодической чистки организма бол</w:t>
      </w:r>
      <w:r w:rsidRPr="0052295E">
        <w:rPr>
          <w:rFonts w:ascii="Times New Roman" w:hAnsi="Times New Roman" w:cs="Times New Roman"/>
          <w:sz w:val="24"/>
          <w:szCs w:val="24"/>
        </w:rPr>
        <w:t>ь</w:t>
      </w:r>
      <w:r w:rsidRPr="0052295E">
        <w:rPr>
          <w:rFonts w:ascii="Times New Roman" w:hAnsi="Times New Roman" w:cs="Times New Roman"/>
          <w:sz w:val="24"/>
          <w:szCs w:val="24"/>
        </w:rPr>
        <w:t xml:space="preserve">шинство из нас – потенциальные преждевременно глубоко больные люди с большой вероятностью досрочного летального исхода. </w:t>
      </w:r>
    </w:p>
    <w:p w:rsidR="0052295E" w:rsidRPr="0052295E" w:rsidRDefault="008E23DA" w:rsidP="005229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2295E" w:rsidRPr="0052295E">
        <w:rPr>
          <w:rFonts w:ascii="Times New Roman" w:hAnsi="Times New Roman" w:cs="Times New Roman"/>
          <w:color w:val="000000"/>
          <w:sz w:val="24"/>
          <w:szCs w:val="24"/>
        </w:rPr>
        <w:t xml:space="preserve">Люди стали понимать – хочешь сегодня жить долго – проводи периодическую чистку организма. Все это стимулирует рост продаж энтеросорбентов, как на российских, так и на  мировых фармацевтических рынках. Так, например, за </w:t>
      </w:r>
      <w:proofErr w:type="gramStart"/>
      <w:r w:rsidR="0052295E" w:rsidRPr="005229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2295E" w:rsidRPr="005229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295E" w:rsidRPr="0052295E">
        <w:rPr>
          <w:rFonts w:ascii="Times New Roman" w:hAnsi="Times New Roman" w:cs="Times New Roman"/>
          <w:color w:val="000000"/>
          <w:sz w:val="24"/>
          <w:szCs w:val="24"/>
        </w:rPr>
        <w:t>следние</w:t>
      </w:r>
      <w:proofErr w:type="gramEnd"/>
      <w:r w:rsidR="0052295E" w:rsidRPr="0052295E">
        <w:rPr>
          <w:rFonts w:ascii="Times New Roman" w:hAnsi="Times New Roman" w:cs="Times New Roman"/>
          <w:color w:val="000000"/>
          <w:sz w:val="24"/>
          <w:szCs w:val="24"/>
        </w:rPr>
        <w:t xml:space="preserve"> 3 года ежегодный прирост продаж на мировых рынках  энтеросорбентов составил 7 – 10%. </w:t>
      </w:r>
    </w:p>
    <w:p w:rsidR="0052295E" w:rsidRPr="0052295E" w:rsidRDefault="0052295E" w:rsidP="005229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95E" w:rsidRPr="0052295E" w:rsidRDefault="0052295E" w:rsidP="0052295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2295E">
        <w:rPr>
          <w:rFonts w:ascii="Times New Roman" w:hAnsi="Times New Roman" w:cs="Times New Roman"/>
          <w:color w:val="000000"/>
          <w:sz w:val="24"/>
          <w:szCs w:val="24"/>
        </w:rPr>
        <w:t>Сегодня  мировой рынок энтеросорбентов выглядит следующим образом:</w:t>
      </w:r>
    </w:p>
    <w:p w:rsidR="00000000" w:rsidRDefault="005229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76800" cy="3609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5E" w:rsidRPr="0052295E" w:rsidRDefault="008E23DA" w:rsidP="005229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295E" w:rsidRPr="0052295E">
        <w:rPr>
          <w:rFonts w:ascii="Times New Roman" w:hAnsi="Times New Roman" w:cs="Times New Roman"/>
          <w:sz w:val="24"/>
          <w:szCs w:val="24"/>
        </w:rPr>
        <w:t>Российский рынок медицинских энтеросорбентов, по оценкам ЦМИ «Фармэксперт», составляет не менее 16 млн. долл. в год и имеет устойчивую те</w:t>
      </w:r>
      <w:r w:rsidR="0052295E" w:rsidRPr="0052295E">
        <w:rPr>
          <w:rFonts w:ascii="Times New Roman" w:hAnsi="Times New Roman" w:cs="Times New Roman"/>
          <w:sz w:val="24"/>
          <w:szCs w:val="24"/>
        </w:rPr>
        <w:t>н</w:t>
      </w:r>
      <w:r w:rsidR="0052295E" w:rsidRPr="0052295E">
        <w:rPr>
          <w:rFonts w:ascii="Times New Roman" w:hAnsi="Times New Roman" w:cs="Times New Roman"/>
          <w:sz w:val="24"/>
          <w:szCs w:val="24"/>
        </w:rPr>
        <w:t>денцию ежегодного роста на 10 -12%.</w:t>
      </w:r>
    </w:p>
    <w:p w:rsidR="0052295E" w:rsidRPr="0052295E" w:rsidRDefault="0052295E" w:rsidP="005229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>При этом более 90% из всех выпускаемых сегодня биосорбентов представляют собой довольно тоже сложные химические соединения, которые нар</w:t>
      </w:r>
      <w:r w:rsidRPr="0052295E">
        <w:rPr>
          <w:rFonts w:ascii="Times New Roman" w:hAnsi="Times New Roman" w:cs="Times New Roman"/>
          <w:sz w:val="24"/>
          <w:szCs w:val="24"/>
        </w:rPr>
        <w:t>я</w:t>
      </w:r>
      <w:r w:rsidRPr="0052295E">
        <w:rPr>
          <w:rFonts w:ascii="Times New Roman" w:hAnsi="Times New Roman" w:cs="Times New Roman"/>
          <w:sz w:val="24"/>
          <w:szCs w:val="24"/>
        </w:rPr>
        <w:t xml:space="preserve">ду 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 xml:space="preserve"> основными.</w:t>
      </w:r>
    </w:p>
    <w:p w:rsidR="0052295E" w:rsidRPr="0052295E" w:rsidRDefault="0052295E" w:rsidP="005229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>сорбирующими свойствами вызывают в организме ряд побочных негативных явлений, присущих большинству хим</w:t>
      </w:r>
      <w:r w:rsidRPr="0052295E">
        <w:rPr>
          <w:rFonts w:ascii="Times New Roman" w:hAnsi="Times New Roman" w:cs="Times New Roman"/>
          <w:sz w:val="24"/>
          <w:szCs w:val="24"/>
        </w:rPr>
        <w:t>и</w:t>
      </w:r>
      <w:r w:rsidRPr="0052295E">
        <w:rPr>
          <w:rFonts w:ascii="Times New Roman" w:hAnsi="Times New Roman" w:cs="Times New Roman"/>
          <w:sz w:val="24"/>
          <w:szCs w:val="24"/>
        </w:rPr>
        <w:t>ческих лекарственных препаратов:</w:t>
      </w:r>
    </w:p>
    <w:p w:rsidR="0052295E" w:rsidRPr="0052295E" w:rsidRDefault="0052295E" w:rsidP="005229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 xml:space="preserve">Аллергические реакции (смекта, мезим форте, 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>вентер и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 xml:space="preserve"> др.);</w:t>
      </w:r>
    </w:p>
    <w:p w:rsidR="0052295E" w:rsidRPr="0052295E" w:rsidRDefault="0052295E" w:rsidP="005229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>Головные боли, понос, запор (церукал, эссенциале форте, смекта и др.);</w:t>
      </w:r>
    </w:p>
    <w:p w:rsidR="0052295E" w:rsidRPr="0052295E" w:rsidRDefault="0052295E" w:rsidP="005229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 xml:space="preserve">Тошнота, рвота, боли в желудке 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>ацилок, мезим форте, э</w:t>
      </w:r>
      <w:r w:rsidRPr="0052295E">
        <w:rPr>
          <w:rFonts w:ascii="Times New Roman" w:hAnsi="Times New Roman" w:cs="Times New Roman"/>
          <w:sz w:val="24"/>
          <w:szCs w:val="24"/>
        </w:rPr>
        <w:t>н</w:t>
      </w:r>
      <w:r w:rsidRPr="0052295E">
        <w:rPr>
          <w:rFonts w:ascii="Times New Roman" w:hAnsi="Times New Roman" w:cs="Times New Roman"/>
          <w:sz w:val="24"/>
          <w:szCs w:val="24"/>
        </w:rPr>
        <w:t>тегнин и др.) и др.</w:t>
      </w:r>
    </w:p>
    <w:p w:rsidR="0052295E" w:rsidRPr="0052295E" w:rsidRDefault="0052295E" w:rsidP="0052295E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2295E" w:rsidRPr="0052295E" w:rsidRDefault="0052295E" w:rsidP="005229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lastRenderedPageBreak/>
        <w:t>Даже такие простые и дешевые сорбенты, как активированный уголь,  пол</w:t>
      </w:r>
      <w:r w:rsidRPr="0052295E">
        <w:rPr>
          <w:rFonts w:ascii="Times New Roman" w:hAnsi="Times New Roman" w:cs="Times New Roman"/>
          <w:sz w:val="24"/>
          <w:szCs w:val="24"/>
        </w:rPr>
        <w:t>и</w:t>
      </w:r>
      <w:r w:rsidRPr="0052295E">
        <w:rPr>
          <w:rFonts w:ascii="Times New Roman" w:hAnsi="Times New Roman" w:cs="Times New Roman"/>
          <w:sz w:val="24"/>
          <w:szCs w:val="24"/>
        </w:rPr>
        <w:t>сорб, полифепан и др., изготавливаемые из природных минералов также обладают рядом существенных недостатков. Так они одновременно с интенсивным выведением токсинов, шлаков,  тяжелых металлов и радионуклидов, как и большинство вышеперечисленных химических сорбентов, практически полностью удаляют из организма большое количество поле</w:t>
      </w:r>
      <w:r w:rsidRPr="0052295E">
        <w:rPr>
          <w:rFonts w:ascii="Times New Roman" w:hAnsi="Times New Roman" w:cs="Times New Roman"/>
          <w:sz w:val="24"/>
          <w:szCs w:val="24"/>
        </w:rPr>
        <w:t>з</w:t>
      </w:r>
      <w:r w:rsidRPr="0052295E">
        <w:rPr>
          <w:rFonts w:ascii="Times New Roman" w:hAnsi="Times New Roman" w:cs="Times New Roman"/>
          <w:sz w:val="24"/>
          <w:szCs w:val="24"/>
        </w:rPr>
        <w:t>ных бактерий и веществ. Но самым главным их недостатком является то, что они практически полностью выводят из орг</w:t>
      </w:r>
      <w:r w:rsidRPr="0052295E">
        <w:rPr>
          <w:rFonts w:ascii="Times New Roman" w:hAnsi="Times New Roman" w:cs="Times New Roman"/>
          <w:sz w:val="24"/>
          <w:szCs w:val="24"/>
        </w:rPr>
        <w:t>а</w:t>
      </w:r>
      <w:r w:rsidRPr="0052295E">
        <w:rPr>
          <w:rFonts w:ascii="Times New Roman" w:hAnsi="Times New Roman" w:cs="Times New Roman"/>
          <w:sz w:val="24"/>
          <w:szCs w:val="24"/>
        </w:rPr>
        <w:t>низма большинство жизненно важных витаминов и микроэлементов, тем самым существенно снижают эффективность  л</w:t>
      </w:r>
      <w:r w:rsidRPr="0052295E">
        <w:rPr>
          <w:rFonts w:ascii="Times New Roman" w:hAnsi="Times New Roman" w:cs="Times New Roman"/>
          <w:sz w:val="24"/>
          <w:szCs w:val="24"/>
        </w:rPr>
        <w:t>е</w:t>
      </w:r>
      <w:r w:rsidRPr="0052295E">
        <w:rPr>
          <w:rFonts w:ascii="Times New Roman" w:hAnsi="Times New Roman" w:cs="Times New Roman"/>
          <w:sz w:val="24"/>
          <w:szCs w:val="24"/>
        </w:rPr>
        <w:t>карственных препаратов, параллельно принимаемых больными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2295E" w:rsidRPr="0052295E" w:rsidRDefault="0052295E" w:rsidP="005229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95E">
        <w:rPr>
          <w:rFonts w:ascii="Times New Roman" w:hAnsi="Times New Roman" w:cs="Times New Roman"/>
          <w:sz w:val="24"/>
          <w:szCs w:val="24"/>
        </w:rPr>
        <w:t>Поэтому разработчики лекарственных энтеросорбентов давно обратили внимание на создание биосорбентов из природных биоматериалов – глубоководные водоросли, плоды,  ягоды и др. Значительным преимуществом биосорбентов перед химическими и изготовленными из минерального сырья является способность, помимо детоксикационных возможностей, насыщать организм широким спектром естественных  витаминных и микроэлементных компонентов.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 xml:space="preserve">  Причем все 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 xml:space="preserve"> крайне полезные и необходимые для организма натуральные  компоненты поступают в естественном виде и пропорциях, и полностью им воспринимаются.  В результате  они стимулируют его иммунную систему и повышают сопротивляемость его болезням. Это крайне важно, т.к. известно, что все синтетические витамины усваиваются организмом всего лишь на 3%. </w:t>
      </w:r>
    </w:p>
    <w:p w:rsidR="0052295E" w:rsidRPr="0052295E" w:rsidRDefault="0052295E" w:rsidP="005229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>Однако и у биосорбентов имеются свои проблемы и недостатки.  Так, например, биосорбенты из глубоководных водорослей (сплат, спирулина,  сивидал и др.), при хорошем их витаминном и микроэлементном составе, обладают сравнительно невысокими сорбирующими свойствами.</w:t>
      </w:r>
    </w:p>
    <w:p w:rsidR="0052295E" w:rsidRPr="0052295E" w:rsidRDefault="0052295E" w:rsidP="005229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 xml:space="preserve">Все это стимулировало поиски исходных материалов и создание новых видов биосорбентов, исключающих отмеченные недостатки. В результате внимание </w:t>
      </w:r>
      <w:r w:rsidR="008D289A">
        <w:rPr>
          <w:rFonts w:ascii="Times New Roman" w:hAnsi="Times New Roman" w:cs="Times New Roman"/>
          <w:sz w:val="24"/>
          <w:szCs w:val="24"/>
        </w:rPr>
        <w:t xml:space="preserve">наших </w:t>
      </w:r>
      <w:r w:rsidRPr="0052295E">
        <w:rPr>
          <w:rFonts w:ascii="Times New Roman" w:hAnsi="Times New Roman" w:cs="Times New Roman"/>
          <w:sz w:val="24"/>
          <w:szCs w:val="24"/>
        </w:rPr>
        <w:t>разработчиков привлекли ягоды сортов винограда, используемые для производства высококачественных сухих шампанских вин. Эти ягоды, выращенные под щедрым южным солнцем полуострова Тамани Краснодарского края, оказались настоящим кладезем натуральных витаминов и микроэлементов. Они отличаются уникальным сочетанием сорбирующих и витаминно-ферментных функций на основе поверхностных физико-химических свойств и состава: органическая часть - переходный слой - соли и минералы. Содержат активные центры амин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>, гидро- и карбоксильной природы. Содержание витаминов в пределах до мкг/г: В</w:t>
      </w:r>
      <w:r w:rsidRPr="0052295E">
        <w:rPr>
          <w:rFonts w:ascii="Times New Roman" w:hAnsi="Times New Roman" w:cs="Times New Roman"/>
          <w:sz w:val="24"/>
          <w:szCs w:val="24"/>
          <w:vertAlign w:val="subscript"/>
        </w:rPr>
        <w:t xml:space="preserve">1 - </w:t>
      </w:r>
      <w:r w:rsidRPr="0052295E">
        <w:rPr>
          <w:rFonts w:ascii="Times New Roman" w:hAnsi="Times New Roman" w:cs="Times New Roman"/>
          <w:sz w:val="24"/>
          <w:szCs w:val="24"/>
        </w:rPr>
        <w:t>2,8; В</w:t>
      </w:r>
      <w:r w:rsidRPr="005229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295E">
        <w:rPr>
          <w:rFonts w:ascii="Times New Roman" w:hAnsi="Times New Roman" w:cs="Times New Roman"/>
          <w:sz w:val="24"/>
          <w:szCs w:val="24"/>
        </w:rPr>
        <w:t xml:space="preserve"> - 8,0; В</w:t>
      </w:r>
      <w:r w:rsidRPr="005229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2295E">
        <w:rPr>
          <w:rFonts w:ascii="Times New Roman" w:hAnsi="Times New Roman" w:cs="Times New Roman"/>
          <w:sz w:val="24"/>
          <w:szCs w:val="24"/>
        </w:rPr>
        <w:t xml:space="preserve"> - 0,6; В</w:t>
      </w:r>
      <w:r w:rsidRPr="0052295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2295E">
        <w:rPr>
          <w:rFonts w:ascii="Times New Roman" w:hAnsi="Times New Roman" w:cs="Times New Roman"/>
          <w:sz w:val="24"/>
          <w:szCs w:val="24"/>
        </w:rPr>
        <w:t xml:space="preserve"> - 3,4; особенно В</w:t>
      </w:r>
      <w:r w:rsidRPr="0052295E">
        <w:rPr>
          <w:rFonts w:ascii="Times New Roman" w:hAnsi="Times New Roman" w:cs="Times New Roman"/>
          <w:sz w:val="24"/>
          <w:szCs w:val="24"/>
          <w:vertAlign w:val="subscript"/>
        </w:rPr>
        <w:t xml:space="preserve">12  </w:t>
      </w:r>
      <w:r w:rsidRPr="0052295E">
        <w:rPr>
          <w:rFonts w:ascii="Times New Roman" w:hAnsi="Times New Roman" w:cs="Times New Roman"/>
          <w:sz w:val="24"/>
          <w:szCs w:val="24"/>
        </w:rPr>
        <w:t xml:space="preserve"> (по составу группы витаминов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 xml:space="preserve"> и их концентрации виноград не имеет аналогов) и РР - 206. В состав входят липиды </w:t>
      </w:r>
      <w:proofErr w:type="gramStart"/>
      <w:r w:rsidRPr="005229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95E">
        <w:rPr>
          <w:rFonts w:ascii="Times New Roman" w:hAnsi="Times New Roman" w:cs="Times New Roman"/>
          <w:sz w:val="24"/>
          <w:szCs w:val="24"/>
        </w:rPr>
        <w:t>8-12% ), полисахариды (45 - 60%), белки ( 8-20% ), нуклеиновые кислоты, моносахара, калий, кальций, серебро, ванадий, кобальт и другие микроэлементы - практически все микроэлементы, необходимые для нормального функционирования организма. Электрофоретически подвижен. Отрицательный электрокинетический потенциал от 15 до 60 мВ.</w:t>
      </w:r>
    </w:p>
    <w:p w:rsidR="0052295E" w:rsidRPr="0052295E" w:rsidRDefault="0052295E" w:rsidP="005229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t>В процессе изучения технологии производства шампанских вин был обнаружен удивительный факт: все витаминное и микроэлементное богатство виноградной ягоды существенно снижалось в составе готового вина. Куда же оно подевалось? Все эти полезные компоненты были почти в полном составе обнаружены в дрожжевых ферментах (осадках) перебродившего вина (кстати, ранее они просто выбрасывались).</w:t>
      </w:r>
    </w:p>
    <w:p w:rsidR="0052295E" w:rsidRDefault="0052295E" w:rsidP="008D2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95E">
        <w:rPr>
          <w:rFonts w:ascii="Times New Roman" w:hAnsi="Times New Roman" w:cs="Times New Roman"/>
          <w:sz w:val="24"/>
          <w:szCs w:val="24"/>
        </w:rPr>
        <w:lastRenderedPageBreak/>
        <w:t xml:space="preserve">Вот тогда-то и родилась идея создания натурального витаминизированного биосорбента  из этого драгоценного сырья. Так,  более 10 лет назад был разработан лучший на сегодняшний день биосорбент Витабиос. </w:t>
      </w:r>
    </w:p>
    <w:p w:rsidR="00734D14" w:rsidRDefault="00734D14" w:rsidP="00734D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С целью определения положения «Витабиоса» в ряду зарубежных и отечественных аналогов - энтеросорбентов были определены их электрохимические свойства. В основу, концептуально, положены технологические принципы: а) с позиций сочетательного характера свойств э</w:t>
      </w:r>
      <w:r w:rsidRPr="00734D14">
        <w:rPr>
          <w:rFonts w:ascii="Times New Roman" w:hAnsi="Times New Roman" w:cs="Times New Roman"/>
          <w:sz w:val="24"/>
          <w:szCs w:val="24"/>
        </w:rPr>
        <w:t>н</w:t>
      </w:r>
      <w:r w:rsidRPr="00734D14">
        <w:rPr>
          <w:rFonts w:ascii="Times New Roman" w:hAnsi="Times New Roman" w:cs="Times New Roman"/>
          <w:sz w:val="24"/>
          <w:szCs w:val="24"/>
        </w:rPr>
        <w:t>теросорбентов, например, сорбционной способности, антиоксидантной активности, наличия определенных минералов, солей, элементов и фе</w:t>
      </w:r>
      <w:r w:rsidRPr="00734D14">
        <w:rPr>
          <w:rFonts w:ascii="Times New Roman" w:hAnsi="Times New Roman" w:cs="Times New Roman"/>
          <w:sz w:val="24"/>
          <w:szCs w:val="24"/>
        </w:rPr>
        <w:t>р</w:t>
      </w:r>
      <w:r w:rsidRPr="00734D14">
        <w:rPr>
          <w:rFonts w:ascii="Times New Roman" w:hAnsi="Times New Roman" w:cs="Times New Roman"/>
          <w:sz w:val="24"/>
          <w:szCs w:val="24"/>
        </w:rPr>
        <w:t>ментов; б) оценка качества готового продукта и в) биоэлектрохимия и поверхность раздела фаз, например, оценка процессов поверхностной гидратации.</w:t>
      </w:r>
    </w:p>
    <w:p w:rsidR="008D289A" w:rsidRPr="008D289A" w:rsidRDefault="00734D14" w:rsidP="00C36CA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В таблице приведены характеристики некоторых сорбентов: ОВП - окислительно-восстановительный потенциал, мВ; ЭП - удельная электропроводность, мСм/см и </w:t>
      </w:r>
      <w:r w:rsidR="00C36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4D14">
        <w:rPr>
          <w:rFonts w:ascii="Times New Roman" w:hAnsi="Times New Roman" w:cs="Times New Roman"/>
          <w:sz w:val="24"/>
          <w:szCs w:val="24"/>
        </w:rPr>
        <w:t>Дз - электрокинетический (дзет</w:t>
      </w:r>
      <w:proofErr w:type="gramStart"/>
      <w:r w:rsidRPr="00734D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34D14">
        <w:rPr>
          <w:rFonts w:ascii="Times New Roman" w:hAnsi="Times New Roman" w:cs="Times New Roman"/>
          <w:sz w:val="24"/>
          <w:szCs w:val="24"/>
        </w:rPr>
        <w:t>) потенц</w:t>
      </w:r>
      <w:r w:rsidRPr="00734D14">
        <w:rPr>
          <w:rFonts w:ascii="Times New Roman" w:hAnsi="Times New Roman" w:cs="Times New Roman"/>
          <w:sz w:val="24"/>
          <w:szCs w:val="24"/>
        </w:rPr>
        <w:t>и</w:t>
      </w:r>
      <w:r w:rsidRPr="00734D14">
        <w:rPr>
          <w:rFonts w:ascii="Times New Roman" w:hAnsi="Times New Roman" w:cs="Times New Roman"/>
          <w:sz w:val="24"/>
          <w:szCs w:val="24"/>
        </w:rPr>
        <w:t>ал, относительные единицы рН. Значения показаны к текущему времени измерения (10 мин.) и установившемуся равновесию (насыщение) в у</w:t>
      </w:r>
      <w:r w:rsidRPr="00734D14">
        <w:rPr>
          <w:rFonts w:ascii="Times New Roman" w:hAnsi="Times New Roman" w:cs="Times New Roman"/>
          <w:sz w:val="24"/>
          <w:szCs w:val="24"/>
        </w:rPr>
        <w:t>с</w:t>
      </w:r>
      <w:r w:rsidRPr="00734D14">
        <w:rPr>
          <w:rFonts w:ascii="Times New Roman" w:hAnsi="Times New Roman" w:cs="Times New Roman"/>
          <w:sz w:val="24"/>
          <w:szCs w:val="24"/>
        </w:rPr>
        <w:t xml:space="preserve">ловиях эксперимента.                                                 </w:t>
      </w:r>
    </w:p>
    <w:p w:rsidR="0052295E" w:rsidRPr="008D289A" w:rsidRDefault="0052295E" w:rsidP="0052295E">
      <w:pPr>
        <w:spacing w:after="240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8D289A">
        <w:rPr>
          <w:rFonts w:ascii="Times New Roman" w:hAnsi="Times New Roman" w:cs="Times New Roman"/>
          <w:b/>
          <w:kern w:val="16"/>
          <w:sz w:val="24"/>
          <w:szCs w:val="24"/>
        </w:rPr>
        <w:t xml:space="preserve">СРАВНИТЕЛЬНЫЕ ХАРАКТЕРИСТИКИ «ВИТАБИОСА» В КЛАССЕ  </w:t>
      </w:r>
      <w:r w:rsidRPr="008D289A">
        <w:rPr>
          <w:rFonts w:ascii="Times New Roman" w:hAnsi="Times New Roman" w:cs="Times New Roman"/>
          <w:b/>
          <w:caps/>
          <w:kern w:val="16"/>
          <w:sz w:val="24"/>
          <w:szCs w:val="24"/>
        </w:rPr>
        <w:t>энтеро</w:t>
      </w:r>
      <w:r w:rsidRPr="008D289A">
        <w:rPr>
          <w:rFonts w:ascii="Times New Roman" w:hAnsi="Times New Roman" w:cs="Times New Roman"/>
          <w:b/>
          <w:kern w:val="16"/>
          <w:sz w:val="24"/>
          <w:szCs w:val="24"/>
        </w:rPr>
        <w:t>СОРБЕНТОВ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1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40" w:after="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Наименование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ОВП, мВ</w:t>
            </w:r>
          </w:p>
        </w:tc>
        <w:tc>
          <w:tcPr>
            <w:tcW w:w="869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рН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ОВП, мВ</w:t>
            </w:r>
          </w:p>
        </w:tc>
        <w:tc>
          <w:tcPr>
            <w:tcW w:w="869" w:type="dxa"/>
            <w:tcBorders>
              <w:bottom w:val="nil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рН</w:t>
            </w:r>
          </w:p>
        </w:tc>
        <w:tc>
          <w:tcPr>
            <w:tcW w:w="869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ЭП, мСм/</w:t>
            </w:r>
            <w:proofErr w:type="gramStart"/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ОВП, мВ</w:t>
            </w:r>
          </w:p>
        </w:tc>
        <w:tc>
          <w:tcPr>
            <w:tcW w:w="869" w:type="dxa"/>
            <w:tcBorders>
              <w:bottom w:val="nil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рН</w:t>
            </w:r>
          </w:p>
        </w:tc>
        <w:tc>
          <w:tcPr>
            <w:tcW w:w="869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ЭП, мСм/</w:t>
            </w:r>
            <w:proofErr w:type="gramStart"/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4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sym w:font="Symbol" w:char="F07A"/>
            </w: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</w:t>
            </w: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-потен</w:t>
            </w: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softHyphen/>
              <w:t xml:space="preserve">циал, отн. ед. 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40" w:after="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52295E" w:rsidRPr="008D289A" w:rsidRDefault="0052295E" w:rsidP="00993DB5">
            <w:pPr>
              <w:spacing w:before="40" w:after="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 мин</w:t>
            </w:r>
          </w:p>
        </w:tc>
        <w:tc>
          <w:tcPr>
            <w:tcW w:w="260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40" w:after="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насыщение</w:t>
            </w:r>
          </w:p>
        </w:tc>
        <w:tc>
          <w:tcPr>
            <w:tcW w:w="260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40" w:after="4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фильтрат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</w:tcBorders>
          </w:tcPr>
          <w:p w:rsidR="0052295E" w:rsidRPr="008D289A" w:rsidRDefault="0052295E" w:rsidP="00993DB5">
            <w:pPr>
              <w:spacing w:after="4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мВ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Активир-ый уголь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ind w:left="281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 Пермь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-85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-176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9,2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-187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8,4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0,76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ind w:left="281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-Дарница-Киев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-112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-200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9,1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-197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8,3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0,9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ind w:left="281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-Курск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1,03</w:t>
            </w:r>
          </w:p>
        </w:tc>
      </w:tr>
      <w:tr w:rsidR="0052295E" w:rsidRPr="008D289A" w:rsidTr="00BF62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ind w:left="281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-Ирбитский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1,1</w:t>
            </w:r>
          </w:p>
        </w:tc>
      </w:tr>
      <w:tr w:rsidR="0052295E" w:rsidRPr="008D289A" w:rsidTr="00BF62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ind w:left="281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-Австрия (Вит.)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-86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-161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9,0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-190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8,4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2295E" w:rsidRPr="008D289A" w:rsidTr="00BF62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Аллохол (детск.)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-56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-69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10,4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-81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1,08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0,25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Аллохол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-25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-76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10,0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0,83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-90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9,6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0,84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0,7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Викаир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-127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-180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9,4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2,26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-160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9,6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2,33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0,18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Регидрон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-239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-239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7,5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0,05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Маалокс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-185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-207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8,6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-208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8,2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Гелусил-лак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-131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-175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8,7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0,49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-174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8,2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0,5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Мезим-форте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-250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6,1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-258</w:t>
            </w:r>
          </w:p>
        </w:tc>
        <w:tc>
          <w:tcPr>
            <w:tcW w:w="869" w:type="dxa"/>
            <w:tcBorders>
              <w:top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5,5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0,54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-265</w:t>
            </w:r>
          </w:p>
        </w:tc>
        <w:tc>
          <w:tcPr>
            <w:tcW w:w="869" w:type="dxa"/>
            <w:tcBorders>
              <w:top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5,6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0,56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0,9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 xml:space="preserve">Витабиос - </w:t>
            </w: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  <w:lang w:val="en-US"/>
              </w:rPr>
              <w:t>Bs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-283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5,4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-258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5,6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0,18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-242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6,0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0,21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1,0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  <w:lang w:val="en-US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 xml:space="preserve">Витабиос </w:t>
            </w: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  <w:lang w:val="en-US"/>
              </w:rPr>
              <w:t>Bs</w:t>
            </w:r>
            <w:r w:rsidRPr="008D289A">
              <w:rPr>
                <w:rFonts w:ascii="Times New Roman" w:hAnsi="Times New Roman" w:cs="Times New Roman"/>
                <w:b/>
                <w:spacing w:val="-18"/>
                <w:kern w:val="16"/>
                <w:sz w:val="24"/>
                <w:szCs w:val="24"/>
                <w:highlight w:val="lightGray"/>
                <w:lang w:val="en-US"/>
              </w:rPr>
              <w:t>(new)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-320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3,6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-225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3,6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1,21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-305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3,8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1,11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1,20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 xml:space="preserve">Витабиос </w:t>
            </w: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  <w:lang w:val="en-US"/>
              </w:rPr>
              <w:t xml:space="preserve">- </w:t>
            </w: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ЛЯн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-281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3,42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-190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3,7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1,31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-279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3,7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1,08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1,11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 xml:space="preserve">Витабиос - </w:t>
            </w: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  <w:lang w:val="en-US"/>
              </w:rPr>
              <w:t>Cm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-409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3,1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-420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0,74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-407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3,1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0,63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1,6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 xml:space="preserve">Витабиос - </w:t>
            </w:r>
            <w:proofErr w:type="spellStart"/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  <w:lang w:val="en-US"/>
              </w:rPr>
              <w:t>PrPh</w:t>
            </w:r>
            <w:proofErr w:type="spellEnd"/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-390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2,8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-385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2,9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1,04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-376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3,0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0,95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  <w:highlight w:val="lightGray"/>
              </w:rPr>
              <w:t>0,90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Полифепан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-247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6,9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-247</w:t>
            </w:r>
          </w:p>
        </w:tc>
        <w:tc>
          <w:tcPr>
            <w:tcW w:w="869" w:type="dxa"/>
            <w:tcBorders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0,12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-135</w:t>
            </w:r>
          </w:p>
        </w:tc>
        <w:tc>
          <w:tcPr>
            <w:tcW w:w="869" w:type="dxa"/>
            <w:tcBorders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7,5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0,14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0,27</w:t>
            </w:r>
          </w:p>
        </w:tc>
      </w:tr>
      <w:tr w:rsidR="0052295E" w:rsidRPr="008D289A" w:rsidTr="00BF62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Пектат - Са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-348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3,7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-328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3,7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6,74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-295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4,1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6,6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0,65</w:t>
            </w:r>
          </w:p>
        </w:tc>
      </w:tr>
      <w:tr w:rsidR="0052295E" w:rsidRPr="008D289A" w:rsidTr="00BF62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Пектин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-292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-290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3,6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0,55</w:t>
            </w:r>
          </w:p>
        </w:tc>
      </w:tr>
      <w:tr w:rsidR="0052295E" w:rsidRPr="008D289A" w:rsidTr="00BF62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Фестал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-113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6,1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-135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6,6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Энзистал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-78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6,5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-55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7,0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0,35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Пантаглюцид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-175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6,4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-155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5,8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-165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6,3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1,8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0,70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Лактобактерин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-213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5,1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-280</w:t>
            </w:r>
          </w:p>
        </w:tc>
        <w:tc>
          <w:tcPr>
            <w:tcW w:w="869" w:type="dxa"/>
            <w:tcBorders>
              <w:top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4,6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1,7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-283</w:t>
            </w:r>
          </w:p>
        </w:tc>
        <w:tc>
          <w:tcPr>
            <w:tcW w:w="869" w:type="dxa"/>
            <w:tcBorders>
              <w:top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4,6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1,6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1,1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Колибактерин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-107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7,0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-195</w:t>
            </w:r>
          </w:p>
        </w:tc>
        <w:tc>
          <w:tcPr>
            <w:tcW w:w="869" w:type="dxa"/>
            <w:tcBorders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5,5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1,6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-228</w:t>
            </w:r>
          </w:p>
        </w:tc>
        <w:tc>
          <w:tcPr>
            <w:tcW w:w="869" w:type="dxa"/>
            <w:tcBorders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5,4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1,5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0,27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Гефефитин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-158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6,9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+0,71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1,4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Тамацехол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+15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-45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8,4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0,58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-27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8,3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фон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Вентер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-327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5,4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-327</w:t>
            </w:r>
          </w:p>
        </w:tc>
        <w:tc>
          <w:tcPr>
            <w:tcW w:w="869" w:type="dxa"/>
            <w:tcBorders>
              <w:top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5,5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-232</w:t>
            </w:r>
          </w:p>
        </w:tc>
        <w:tc>
          <w:tcPr>
            <w:tcW w:w="869" w:type="dxa"/>
            <w:tcBorders>
              <w:top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5,5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0,16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0,35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pacing w:val="-4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spacing w:val="-4"/>
                <w:kern w:val="16"/>
                <w:sz w:val="24"/>
                <w:szCs w:val="24"/>
              </w:rPr>
              <w:t>Эссенциале форте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-348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5,1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-355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5,1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0,12</w:t>
            </w:r>
          </w:p>
        </w:tc>
        <w:tc>
          <w:tcPr>
            <w:tcW w:w="2607" w:type="dxa"/>
            <w:gridSpan w:val="3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не фильтруется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1,6</w:t>
            </w:r>
          </w:p>
        </w:tc>
      </w:tr>
      <w:tr w:rsidR="0052295E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Церукал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-210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7,0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-222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0,29</w:t>
            </w:r>
          </w:p>
        </w:tc>
        <w:tc>
          <w:tcPr>
            <w:tcW w:w="869" w:type="dxa"/>
            <w:tcBorders>
              <w:left w:val="nil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-187</w:t>
            </w:r>
          </w:p>
        </w:tc>
        <w:tc>
          <w:tcPr>
            <w:tcW w:w="869" w:type="dxa"/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7,0</w:t>
            </w:r>
          </w:p>
        </w:tc>
        <w:tc>
          <w:tcPr>
            <w:tcW w:w="86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2295E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0,32</w:t>
            </w:r>
          </w:p>
        </w:tc>
        <w:tc>
          <w:tcPr>
            <w:tcW w:w="869" w:type="dxa"/>
            <w:tcBorders>
              <w:left w:val="nil"/>
            </w:tcBorders>
          </w:tcPr>
          <w:p w:rsidR="008E23DA" w:rsidRPr="008D289A" w:rsidRDefault="0052295E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1,5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Карсил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-157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-180</w:t>
            </w:r>
          </w:p>
        </w:tc>
        <w:tc>
          <w:tcPr>
            <w:tcW w:w="869" w:type="dxa"/>
            <w:tcBorders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-197</w:t>
            </w:r>
          </w:p>
        </w:tc>
        <w:tc>
          <w:tcPr>
            <w:tcW w:w="869" w:type="dxa"/>
            <w:tcBorders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6,9</w:t>
            </w:r>
          </w:p>
        </w:tc>
        <w:tc>
          <w:tcPr>
            <w:tcW w:w="869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0,12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0,55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Аминазин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-226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6,2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-212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6,3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-265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5,2</w:t>
            </w:r>
          </w:p>
        </w:tc>
        <w:tc>
          <w:tcPr>
            <w:tcW w:w="86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1,8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Ацилок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-143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-180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-190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1,40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Легалон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-35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-102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7,9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-103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7,9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0,45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Гелусил (сусп.)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-87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-152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10,2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0,34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-125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8,7</w:t>
            </w:r>
          </w:p>
        </w:tc>
        <w:tc>
          <w:tcPr>
            <w:tcW w:w="869" w:type="dxa"/>
            <w:tcBorders>
              <w:top w:val="nil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0,75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Смекта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-305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-312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-293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6,4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0,41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Цитраглюкосолан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-335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-332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7,5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-254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3,22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0,08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Метилурацил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-342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-339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6,7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-335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0,76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Сульгин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-326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-309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0,41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-274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0,38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Медетопект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-246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3,7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-245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3,8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0,46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-238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3,9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0,48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1,07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Сплат (Сочи)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-240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-210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7,6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-205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0,85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Спирулина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-269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-263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-192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7,3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1,98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0,99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Биосорб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-260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-260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7,1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-276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0,18</w:t>
            </w: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0,60</w:t>
            </w:r>
          </w:p>
        </w:tc>
      </w:tr>
      <w:tr w:rsidR="008E23DA" w:rsidRPr="008D289A" w:rsidTr="0099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1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Энтеросгель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-218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-181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6,8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-168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7,6</w:t>
            </w: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double" w:sz="4" w:space="0" w:color="auto"/>
            </w:tcBorders>
          </w:tcPr>
          <w:p w:rsidR="008E23DA" w:rsidRPr="008D289A" w:rsidRDefault="008E23DA" w:rsidP="00993DB5">
            <w:pPr>
              <w:spacing w:before="20" w:after="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8D289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0,45</w:t>
            </w:r>
          </w:p>
        </w:tc>
      </w:tr>
    </w:tbl>
    <w:p w:rsidR="008E23DA" w:rsidRDefault="008E23DA" w:rsidP="008E23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89A" w:rsidRDefault="008D289A" w:rsidP="005229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D14" w:rsidRPr="00734D14" w:rsidRDefault="00734D14" w:rsidP="00734D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Как видно из таблицы, дзета-потенциал (практически потенциал сор</w:t>
      </w:r>
      <w:r w:rsidRPr="00734D14">
        <w:rPr>
          <w:rFonts w:ascii="Times New Roman" w:hAnsi="Times New Roman" w:cs="Times New Roman"/>
          <w:sz w:val="24"/>
          <w:szCs w:val="24"/>
        </w:rPr>
        <w:t>б</w:t>
      </w:r>
      <w:r w:rsidRPr="00734D14">
        <w:rPr>
          <w:rFonts w:ascii="Times New Roman" w:hAnsi="Times New Roman" w:cs="Times New Roman"/>
          <w:sz w:val="24"/>
          <w:szCs w:val="24"/>
        </w:rPr>
        <w:t>ции) у Витабиоса и его аналогов на уровне эссенциале форте, церукала, ацилока и гефефитина, выше, чем у пектина, аллохола и пектата кальция,  в 4-6 раз выше, чем у полифепана, выше активированного угля, и не ниже м</w:t>
      </w:r>
      <w:r w:rsidRPr="00734D14">
        <w:rPr>
          <w:rFonts w:ascii="Times New Roman" w:hAnsi="Times New Roman" w:cs="Times New Roman"/>
          <w:sz w:val="24"/>
          <w:szCs w:val="24"/>
        </w:rPr>
        <w:t>е</w:t>
      </w:r>
      <w:r w:rsidRPr="00734D14">
        <w:rPr>
          <w:rFonts w:ascii="Times New Roman" w:hAnsi="Times New Roman" w:cs="Times New Roman"/>
          <w:sz w:val="24"/>
          <w:szCs w:val="24"/>
        </w:rPr>
        <w:t xml:space="preserve">зим-форте,  при высокой антиоксидантной активности и минерализации. </w:t>
      </w:r>
    </w:p>
    <w:p w:rsidR="00734D14" w:rsidRPr="00734D14" w:rsidRDefault="00734D14" w:rsidP="00734D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Витабиос и его аналоги имеют высокое сродство к организму чел</w:t>
      </w:r>
      <w:r w:rsidRPr="00734D14">
        <w:rPr>
          <w:rFonts w:ascii="Times New Roman" w:hAnsi="Times New Roman" w:cs="Times New Roman"/>
          <w:sz w:val="24"/>
          <w:szCs w:val="24"/>
        </w:rPr>
        <w:t>о</w:t>
      </w:r>
      <w:r w:rsidRPr="00734D14">
        <w:rPr>
          <w:rFonts w:ascii="Times New Roman" w:hAnsi="Times New Roman" w:cs="Times New Roman"/>
          <w:sz w:val="24"/>
          <w:szCs w:val="24"/>
        </w:rPr>
        <w:t>века, поэтому легко всасывается в кровь. Витабиос содержит порфириновые соединения (класс гемоглобина) с комплексообразущим агентом – ванадием. Содержит кальций, серебро, цинк, железо и ряд о</w:t>
      </w:r>
      <w:r w:rsidRPr="00734D14">
        <w:rPr>
          <w:rFonts w:ascii="Times New Roman" w:hAnsi="Times New Roman" w:cs="Times New Roman"/>
          <w:sz w:val="24"/>
          <w:szCs w:val="24"/>
        </w:rPr>
        <w:t>р</w:t>
      </w:r>
      <w:r w:rsidRPr="00734D14">
        <w:rPr>
          <w:rFonts w:ascii="Times New Roman" w:hAnsi="Times New Roman" w:cs="Times New Roman"/>
          <w:sz w:val="24"/>
          <w:szCs w:val="24"/>
        </w:rPr>
        <w:t>ганических соединений, участвующих в цикле Кребса. Выводит (элиминирует) хлорорганические пестициды и их метабол</w:t>
      </w:r>
      <w:r w:rsidRPr="00734D14">
        <w:rPr>
          <w:rFonts w:ascii="Times New Roman" w:hAnsi="Times New Roman" w:cs="Times New Roman"/>
          <w:sz w:val="24"/>
          <w:szCs w:val="24"/>
        </w:rPr>
        <w:t>и</w:t>
      </w:r>
      <w:r w:rsidRPr="00734D14">
        <w:rPr>
          <w:rFonts w:ascii="Times New Roman" w:hAnsi="Times New Roman" w:cs="Times New Roman"/>
          <w:sz w:val="24"/>
          <w:szCs w:val="24"/>
        </w:rPr>
        <w:t>ты, запускающие канцерогенез. Является  селективным сорбентом токсичных тяжелых металлов, так как не выводит эссенциальные (жизненн</w:t>
      </w:r>
      <w:r w:rsidRPr="00734D14">
        <w:rPr>
          <w:rFonts w:ascii="Times New Roman" w:hAnsi="Times New Roman" w:cs="Times New Roman"/>
          <w:sz w:val="24"/>
          <w:szCs w:val="24"/>
        </w:rPr>
        <w:t>о</w:t>
      </w:r>
      <w:r w:rsidRPr="00734D14">
        <w:rPr>
          <w:rFonts w:ascii="Times New Roman" w:hAnsi="Times New Roman" w:cs="Times New Roman"/>
          <w:sz w:val="24"/>
          <w:szCs w:val="24"/>
        </w:rPr>
        <w:t>важные) микроэлементы.</w:t>
      </w:r>
    </w:p>
    <w:p w:rsidR="00734D14" w:rsidRPr="00734D14" w:rsidRDefault="00734D14" w:rsidP="00734D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Вместе с тем Витабиос обладает высокими (до 80%) энтеросорбирующими свойствами. Он улучшает окислительно-восстановительные процессы в организме (тканевое дыхание), имеет детоксидирующий и антиоксидан</w:t>
      </w:r>
      <w:r w:rsidRPr="00734D14">
        <w:rPr>
          <w:rFonts w:ascii="Times New Roman" w:hAnsi="Times New Roman" w:cs="Times New Roman"/>
          <w:sz w:val="24"/>
          <w:szCs w:val="24"/>
        </w:rPr>
        <w:t>т</w:t>
      </w:r>
      <w:r w:rsidRPr="00734D14">
        <w:rPr>
          <w:rFonts w:ascii="Times New Roman" w:hAnsi="Times New Roman" w:cs="Times New Roman"/>
          <w:sz w:val="24"/>
          <w:szCs w:val="24"/>
        </w:rPr>
        <w:t>ный эффекты. Выводит из организма токсины, радионуклиды и аллергены. Повышает содержание рецепторного белка в крови (фактор омоложения) и свертываемость крови. Нормализует обмен веществ и улучшает потенцию.</w:t>
      </w:r>
    </w:p>
    <w:p w:rsidR="00734D14" w:rsidRPr="00734D14" w:rsidRDefault="00734D14" w:rsidP="00734D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lastRenderedPageBreak/>
        <w:t>Выпускает Витабиос компания – научно-производственная фирма «Аквазинэль» (г. Краснодар). Многолетние клинические испытания Витабиоса показали его уникальные лечебные возможности. Он «работает» в организме как самостоятельный лекарственный препарат, а также улучшает и усиливает терапевтический эффект многих популярных лекарственных препаратов, уменьшает одновременно негативное их влияние на жизненно важные органы пациентов.</w:t>
      </w:r>
    </w:p>
    <w:p w:rsidR="00734D14" w:rsidRPr="00734D14" w:rsidRDefault="00734D14" w:rsidP="00734D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Сегодня производится также серия модификаций препарата Витабиос с кисл</w:t>
      </w:r>
      <w:r w:rsidRPr="00734D14">
        <w:rPr>
          <w:rFonts w:ascii="Times New Roman" w:hAnsi="Times New Roman" w:cs="Times New Roman"/>
          <w:sz w:val="24"/>
          <w:szCs w:val="24"/>
        </w:rPr>
        <w:t>о</w:t>
      </w:r>
      <w:r w:rsidRPr="00734D14">
        <w:rPr>
          <w:rFonts w:ascii="Times New Roman" w:hAnsi="Times New Roman" w:cs="Times New Roman"/>
          <w:sz w:val="24"/>
          <w:szCs w:val="24"/>
        </w:rPr>
        <w:t xml:space="preserve">тами, витаминами и коферментами, входящими в синтез Кребса либо косвенно его </w:t>
      </w:r>
      <w:proofErr w:type="gramStart"/>
      <w:r w:rsidRPr="00734D14">
        <w:rPr>
          <w:rFonts w:ascii="Times New Roman" w:hAnsi="Times New Roman" w:cs="Times New Roman"/>
          <w:sz w:val="24"/>
          <w:szCs w:val="24"/>
        </w:rPr>
        <w:t>обслужива</w:t>
      </w:r>
      <w:r w:rsidRPr="00734D14">
        <w:rPr>
          <w:rFonts w:ascii="Times New Roman" w:hAnsi="Times New Roman" w:cs="Times New Roman"/>
          <w:sz w:val="24"/>
          <w:szCs w:val="24"/>
        </w:rPr>
        <w:t>ю</w:t>
      </w:r>
      <w:r w:rsidRPr="00734D14">
        <w:rPr>
          <w:rFonts w:ascii="Times New Roman" w:hAnsi="Times New Roman" w:cs="Times New Roman"/>
          <w:sz w:val="24"/>
          <w:szCs w:val="24"/>
        </w:rPr>
        <w:t>щие</w:t>
      </w:r>
      <w:proofErr w:type="gramEnd"/>
      <w:r w:rsidRPr="00734D14">
        <w:rPr>
          <w:rFonts w:ascii="Times New Roman" w:hAnsi="Times New Roman" w:cs="Times New Roman"/>
          <w:sz w:val="24"/>
          <w:szCs w:val="24"/>
        </w:rPr>
        <w:t xml:space="preserve"> (Витабиос-ЛиФоГ, Витабиос-ЛиС, Витабиос-ЛЯнж). Модификация Витабиос-ЛиФоГ содержит липоевую, фолиевую и глутаминовую кислоты, хотя и не участвующих непосредственно в цикле, однако играющие исключительную роль, например, в образовании тиоэфира кофермента</w:t>
      </w:r>
      <w:proofErr w:type="gramStart"/>
      <w:r w:rsidRPr="00734D1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4D14">
        <w:rPr>
          <w:rFonts w:ascii="Times New Roman" w:hAnsi="Times New Roman" w:cs="Times New Roman"/>
          <w:sz w:val="24"/>
          <w:szCs w:val="24"/>
        </w:rPr>
        <w:t xml:space="preserve"> (СН</w:t>
      </w:r>
      <w:r w:rsidRPr="00734D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4D14">
        <w:rPr>
          <w:rFonts w:ascii="Times New Roman" w:hAnsi="Times New Roman" w:cs="Times New Roman"/>
          <w:sz w:val="24"/>
          <w:szCs w:val="24"/>
        </w:rPr>
        <w:t>-СО</w:t>
      </w:r>
      <w:r w:rsidRPr="00734D14">
        <w:rPr>
          <w:rFonts w:ascii="Times New Roman" w:hAnsi="Times New Roman" w:cs="Times New Roman"/>
          <w:sz w:val="24"/>
          <w:szCs w:val="24"/>
        </w:rPr>
        <w:sym w:font="Romantic" w:char="F07E"/>
      </w:r>
      <w:r w:rsidRPr="00734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4D14">
        <w:rPr>
          <w:rFonts w:ascii="Times New Roman" w:hAnsi="Times New Roman" w:cs="Times New Roman"/>
          <w:sz w:val="24"/>
          <w:szCs w:val="24"/>
        </w:rPr>
        <w:t>СоА), без которого н</w:t>
      </w:r>
      <w:r w:rsidRPr="00734D14">
        <w:rPr>
          <w:rFonts w:ascii="Times New Roman" w:hAnsi="Times New Roman" w:cs="Times New Roman"/>
          <w:sz w:val="24"/>
          <w:szCs w:val="24"/>
        </w:rPr>
        <w:t>е</w:t>
      </w:r>
      <w:r w:rsidRPr="00734D14">
        <w:rPr>
          <w:rFonts w:ascii="Times New Roman" w:hAnsi="Times New Roman" w:cs="Times New Roman"/>
          <w:sz w:val="24"/>
          <w:szCs w:val="24"/>
        </w:rPr>
        <w:t xml:space="preserve">возможен запуск цикла. </w:t>
      </w:r>
    </w:p>
    <w:p w:rsidR="00734D14" w:rsidRPr="00734D14" w:rsidRDefault="00734D14" w:rsidP="00734D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Витабиос-ЛиС содержит лимонную и аскорбиновую кислоты. Л</w:t>
      </w:r>
      <w:r w:rsidRPr="00734D14">
        <w:rPr>
          <w:rFonts w:ascii="Times New Roman" w:hAnsi="Times New Roman" w:cs="Times New Roman"/>
          <w:sz w:val="24"/>
          <w:szCs w:val="24"/>
        </w:rPr>
        <w:t>и</w:t>
      </w:r>
      <w:r w:rsidRPr="00734D14">
        <w:rPr>
          <w:rFonts w:ascii="Times New Roman" w:hAnsi="Times New Roman" w:cs="Times New Roman"/>
          <w:sz w:val="24"/>
          <w:szCs w:val="24"/>
        </w:rPr>
        <w:t>монная кислота, участвуя в процессах обмена, является самоосновой цикла, своеобразным  остовом и катализатором одновременно. Введение аскорбиновой кислоты не только устран</w:t>
      </w:r>
      <w:r w:rsidRPr="00734D14">
        <w:rPr>
          <w:rFonts w:ascii="Times New Roman" w:hAnsi="Times New Roman" w:cs="Times New Roman"/>
          <w:sz w:val="24"/>
          <w:szCs w:val="24"/>
        </w:rPr>
        <w:t>я</w:t>
      </w:r>
      <w:r w:rsidRPr="00734D14">
        <w:rPr>
          <w:rFonts w:ascii="Times New Roman" w:hAnsi="Times New Roman" w:cs="Times New Roman"/>
          <w:sz w:val="24"/>
          <w:szCs w:val="24"/>
        </w:rPr>
        <w:t>ет "потерю", но и дополняет комплекс витаминов, усиливает биостимул</w:t>
      </w:r>
      <w:r w:rsidRPr="00734D14">
        <w:rPr>
          <w:rFonts w:ascii="Times New Roman" w:hAnsi="Times New Roman" w:cs="Times New Roman"/>
          <w:sz w:val="24"/>
          <w:szCs w:val="24"/>
        </w:rPr>
        <w:t>и</w:t>
      </w:r>
      <w:r w:rsidRPr="00734D14">
        <w:rPr>
          <w:rFonts w:ascii="Times New Roman" w:hAnsi="Times New Roman" w:cs="Times New Roman"/>
          <w:sz w:val="24"/>
          <w:szCs w:val="24"/>
        </w:rPr>
        <w:t>рующий эффект.</w:t>
      </w:r>
    </w:p>
    <w:p w:rsidR="00734D14" w:rsidRPr="00734D14" w:rsidRDefault="00734D14" w:rsidP="00734D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Витабиос-ЛЯнж выпускается в виде водного безспиртового раствора на основе янтарной, лимонной и аскорбиновой кислот, серебра и чабреца. Янтарная кислота интенсифицирует цикл за счет ускорения о</w:t>
      </w:r>
      <w:r w:rsidRPr="00734D14">
        <w:rPr>
          <w:rFonts w:ascii="Times New Roman" w:hAnsi="Times New Roman" w:cs="Times New Roman"/>
          <w:sz w:val="24"/>
          <w:szCs w:val="24"/>
        </w:rPr>
        <w:t>б</w:t>
      </w:r>
      <w:r w:rsidRPr="00734D14">
        <w:rPr>
          <w:rFonts w:ascii="Times New Roman" w:hAnsi="Times New Roman" w:cs="Times New Roman"/>
          <w:sz w:val="24"/>
          <w:szCs w:val="24"/>
        </w:rPr>
        <w:t>разования субстрата для р</w:t>
      </w:r>
      <w:proofErr w:type="gramStart"/>
      <w:r w:rsidRPr="00734D1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34D14">
        <w:rPr>
          <w:rFonts w:ascii="Times New Roman" w:hAnsi="Times New Roman" w:cs="Times New Roman"/>
          <w:sz w:val="24"/>
          <w:szCs w:val="24"/>
        </w:rPr>
        <w:t xml:space="preserve"> и генерации лимонной кислоты.</w:t>
      </w:r>
    </w:p>
    <w:p w:rsidR="00734D14" w:rsidRPr="00734D14" w:rsidRDefault="00734D14" w:rsidP="00734D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Многолетние клинические испытания показали его высокоэффективные лечебные возможности при лечении онкологических больных, как самостоятельного лечебного препарата, так и в комплексе с химиопрепаратами для снижения токсичного их воздействия на больного. Вне конкуренции Витабиос оказался и в комплексном лечении больных туберкулезом в качестве препарата, снижающего высокую токсичность лекарств, используемых для лечения таких больных. Лечение больных (спецконтингента) туберкулезом в системе ГУИН (ФСИН) Краснодарского края в сочетательной терапии с «Витабиосом» показало в 2 раза выше эффективность, чем только при антибиотической тер</w:t>
      </w:r>
      <w:r w:rsidRPr="00734D14">
        <w:rPr>
          <w:rFonts w:ascii="Times New Roman" w:hAnsi="Times New Roman" w:cs="Times New Roman"/>
          <w:sz w:val="24"/>
          <w:szCs w:val="24"/>
        </w:rPr>
        <w:t>а</w:t>
      </w:r>
      <w:r w:rsidRPr="00734D14">
        <w:rPr>
          <w:rFonts w:ascii="Times New Roman" w:hAnsi="Times New Roman" w:cs="Times New Roman"/>
          <w:sz w:val="24"/>
          <w:szCs w:val="24"/>
        </w:rPr>
        <w:t>пии.</w:t>
      </w:r>
    </w:p>
    <w:p w:rsidR="00734D14" w:rsidRPr="00734D14" w:rsidRDefault="00734D14" w:rsidP="00734D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Наиболее перспективным направлением применения Витабиоса, как показала практика,  определяющим высокую эффективность его применения и, несомненно, в будущем повышенный спрос на этот препарат является лечение последствий, профилактика и предупреждение заболеваний алкоголизмом и наркоманией. Профилактический прием Витабиоса снижает влечение к этим пагубным привычкам. Прием перед застольем, в процессе и после него, сводит практически на нет пагубное влияние алкоголя на организм. Прием Витабиоса после значительных алкогольных </w:t>
      </w:r>
      <w:proofErr w:type="gramStart"/>
      <w:r w:rsidRPr="00734D14">
        <w:rPr>
          <w:rFonts w:ascii="Times New Roman" w:hAnsi="Times New Roman" w:cs="Times New Roman"/>
          <w:sz w:val="24"/>
          <w:szCs w:val="24"/>
        </w:rPr>
        <w:t>возлияний</w:t>
      </w:r>
      <w:proofErr w:type="gramEnd"/>
      <w:r w:rsidRPr="00734D14">
        <w:rPr>
          <w:rFonts w:ascii="Times New Roman" w:hAnsi="Times New Roman" w:cs="Times New Roman"/>
          <w:sz w:val="24"/>
          <w:szCs w:val="24"/>
        </w:rPr>
        <w:t xml:space="preserve"> исключает наступление похмельного синдрома, либо быстро и с минимальными последствиями выводит больного из этого состояния. </w:t>
      </w:r>
    </w:p>
    <w:p w:rsidR="00734D14" w:rsidRPr="00734D14" w:rsidRDefault="00734D14" w:rsidP="00734D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Предварительные клинические исследования в Центре комплекса СКАЛ муниципальной 2-ой городской больницы </w:t>
      </w:r>
      <w:proofErr w:type="gramStart"/>
      <w:r w:rsidRPr="00734D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4D14">
        <w:rPr>
          <w:rFonts w:ascii="Times New Roman" w:hAnsi="Times New Roman" w:cs="Times New Roman"/>
          <w:sz w:val="24"/>
          <w:szCs w:val="24"/>
        </w:rPr>
        <w:t>. Краснодара при лечении больных-ликвидаторов аварии на ЧАЭС и больных бронхиальной астмой, осложненной пищевой аллергией, показали эффективность лечения «Вит</w:t>
      </w:r>
      <w:r w:rsidRPr="00734D14">
        <w:rPr>
          <w:rFonts w:ascii="Times New Roman" w:hAnsi="Times New Roman" w:cs="Times New Roman"/>
          <w:sz w:val="24"/>
          <w:szCs w:val="24"/>
        </w:rPr>
        <w:t>а</w:t>
      </w:r>
      <w:r w:rsidRPr="00734D14">
        <w:rPr>
          <w:rFonts w:ascii="Times New Roman" w:hAnsi="Times New Roman" w:cs="Times New Roman"/>
          <w:sz w:val="24"/>
          <w:szCs w:val="24"/>
        </w:rPr>
        <w:t>биосом» по сравнению со шведским препаратом «Маринил» примерно на 25% при стоимости курса лечения ниже в 20 раз.</w:t>
      </w:r>
    </w:p>
    <w:p w:rsidR="00734D14" w:rsidRPr="00734D14" w:rsidRDefault="00734D14" w:rsidP="00734D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Следует особо отметить высокую эффективность Витабиоса в рационе людей, работающих в экстремальных условиях: высокие физические нагрузки, тяжелые климатические условия и др. Получены отличные результаты использования Витабиоса при подготовке спортсменов Школы олимпийского резерва и во время участия их в ответственных </w:t>
      </w:r>
      <w:r w:rsidRPr="00734D14">
        <w:rPr>
          <w:rFonts w:ascii="Times New Roman" w:hAnsi="Times New Roman" w:cs="Times New Roman"/>
          <w:sz w:val="24"/>
          <w:szCs w:val="24"/>
        </w:rPr>
        <w:lastRenderedPageBreak/>
        <w:t>соревнованиях. Несомненно, со временем он займет достойное место в ряду натуральных естественных тонизирующих средств (недопинговых)</w:t>
      </w:r>
      <w:proofErr w:type="gramStart"/>
      <w:r w:rsidRPr="00734D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4D14">
        <w:rPr>
          <w:rFonts w:ascii="Times New Roman" w:hAnsi="Times New Roman" w:cs="Times New Roman"/>
          <w:sz w:val="24"/>
          <w:szCs w:val="24"/>
        </w:rPr>
        <w:t xml:space="preserve"> используемых при подготовке ведущих спортсменов для участия в мировых и европейских турнирах, в олимпийских играх.</w:t>
      </w:r>
    </w:p>
    <w:p w:rsidR="00734D14" w:rsidRPr="00734D14" w:rsidRDefault="00734D14" w:rsidP="00734D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Многочисленные отзывы ряда ведущих клиник края и пациентов отмечают такие исключительные лечебные возможности биосорбента Витабиоса, как: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превосходно очищает ЖКТ, лимфу и кровь; 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усиливает секрецию эндокринных желез; </w:t>
      </w:r>
    </w:p>
    <w:p w:rsidR="00734D14" w:rsidRPr="00734D14" w:rsidRDefault="00734D14" w:rsidP="00734D1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способствует выделению желчи, желудочного сока и поддержанию нормальной кислотности желудка; 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расширяет сосуды; 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обладает антибактериальными свойствами, выводит токсины;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нормализует обмен веществ;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улучшает сон; 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укрепляет организм;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повышает иммунитет и тонус организма; 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способствует восстановлению жизненных сил при их упадке;</w:t>
      </w:r>
    </w:p>
    <w:p w:rsidR="00734D14" w:rsidRPr="00734D14" w:rsidRDefault="00734D14" w:rsidP="00734D14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обогащает организм микроэлементами, витаминами группы B (B1, B2, B3, B5, B6, B8, B9, В12), </w:t>
      </w:r>
      <w:r w:rsidRPr="00734D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34D14">
        <w:rPr>
          <w:rFonts w:ascii="Times New Roman" w:hAnsi="Times New Roman" w:cs="Times New Roman"/>
          <w:sz w:val="24"/>
          <w:szCs w:val="24"/>
        </w:rPr>
        <w:t xml:space="preserve">, </w:t>
      </w:r>
      <w:r w:rsidRPr="00734D1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4D14">
        <w:rPr>
          <w:rFonts w:ascii="Times New Roman" w:hAnsi="Times New Roman" w:cs="Times New Roman"/>
          <w:sz w:val="24"/>
          <w:szCs w:val="24"/>
        </w:rPr>
        <w:t>. аминокислотами;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препятствует развитию атеросклероза; 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способствуют замедлению старения клеток;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предотвращает возникновение онкологических заболеваний;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снижает содержание холестерина;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• лечит импотенцию у мужчин и устраняет фригидность у женщин; </w:t>
      </w:r>
    </w:p>
    <w:p w:rsidR="00734D14" w:rsidRPr="00734D14" w:rsidRDefault="00734D14" w:rsidP="00734D14">
      <w:pPr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>• служит превосходным антистрессовым средством.</w:t>
      </w:r>
    </w:p>
    <w:p w:rsidR="00734D14" w:rsidRPr="00734D14" w:rsidRDefault="00734D14" w:rsidP="00734D1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В последнее время получены отличные результаты использования Витабиоса в комплексной терапии с такими современными методами, как биорезонансная и микроволновая резонансная (КВЧ) терапия. </w:t>
      </w:r>
    </w:p>
    <w:p w:rsidR="00734D14" w:rsidRDefault="00734D14" w:rsidP="00734D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D14">
        <w:rPr>
          <w:rFonts w:ascii="Times New Roman" w:hAnsi="Times New Roman" w:cs="Times New Roman"/>
          <w:sz w:val="24"/>
          <w:szCs w:val="24"/>
        </w:rPr>
        <w:t xml:space="preserve">Все это позволяет предположить, что в ближайшие 3-5 лет Витабиос может занять одно из лидирующих мест на рынке отечественных энтеросорбентов. </w:t>
      </w:r>
    </w:p>
    <w:p w:rsidR="00BF621F" w:rsidRPr="00BF621F" w:rsidRDefault="00BF621F" w:rsidP="00BF621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BF621F">
        <w:rPr>
          <w:rFonts w:ascii="Times New Roman" w:hAnsi="Times New Roman" w:cs="Times New Roman"/>
          <w:sz w:val="24"/>
          <w:szCs w:val="24"/>
        </w:rPr>
        <w:t xml:space="preserve">Планируемое развитие производства витаминизированного биосорбента «Витабиос», значительное расширение объемов его выпуска позволит обеспечить 20 % отечественного лекарственного  рынка сорбентов высококачественным натуральным витаминизированным энтеросорбентом с лучшим соотношением цена – качество. Кроме того, его появление в </w:t>
      </w:r>
      <w:proofErr w:type="gramStart"/>
      <w:r w:rsidRPr="00BF621F">
        <w:rPr>
          <w:rFonts w:ascii="Times New Roman" w:hAnsi="Times New Roman" w:cs="Times New Roman"/>
          <w:sz w:val="24"/>
          <w:szCs w:val="24"/>
        </w:rPr>
        <w:t>планируемом</w:t>
      </w:r>
      <w:proofErr w:type="gramEnd"/>
      <w:r w:rsidRPr="00BF621F">
        <w:rPr>
          <w:rFonts w:ascii="Times New Roman" w:hAnsi="Times New Roman" w:cs="Times New Roman"/>
          <w:sz w:val="24"/>
          <w:szCs w:val="24"/>
        </w:rPr>
        <w:t xml:space="preserve"> к выпуску объемах позволит  частично вытеснить с отечественного рынка дорогостоящие и менее качественные зарубежные аналоги. </w:t>
      </w:r>
    </w:p>
    <w:sectPr w:rsidR="00BF621F" w:rsidRPr="00BF621F" w:rsidSect="00C36CA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6B0"/>
    <w:multiLevelType w:val="hybridMultilevel"/>
    <w:tmpl w:val="81785C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95E"/>
    <w:rsid w:val="0052295E"/>
    <w:rsid w:val="00734D14"/>
    <w:rsid w:val="008D289A"/>
    <w:rsid w:val="008E23DA"/>
    <w:rsid w:val="00BF621F"/>
    <w:rsid w:val="00C3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9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22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229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2013-07-30T14:12:00Z</dcterms:created>
  <dcterms:modified xsi:type="dcterms:W3CDTF">2013-07-30T14:42:00Z</dcterms:modified>
</cp:coreProperties>
</file>